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76601" w14:textId="2B7E5C3F" w:rsidR="00B2324E" w:rsidRPr="006A794C" w:rsidRDefault="00B2324E" w:rsidP="006A794C">
      <w:pPr>
        <w:jc w:val="center"/>
        <w:rPr>
          <w:rFonts w:ascii="Gulim" w:eastAsia="Gulim" w:hAnsi="Gulim"/>
          <w:sz w:val="56"/>
          <w:szCs w:val="56"/>
        </w:rPr>
      </w:pPr>
      <w:r w:rsidRPr="00B2324E">
        <w:rPr>
          <w:rFonts w:ascii="Gulim" w:eastAsia="Gulim" w:hAnsi="Gulim"/>
          <w:sz w:val="56"/>
          <w:szCs w:val="56"/>
        </w:rPr>
        <w:t>Development Structural Self-Assessment</w:t>
      </w:r>
    </w:p>
    <w:p w14:paraId="47A97AA6" w14:textId="4EC91F6D" w:rsidR="00B2324E" w:rsidRPr="006A794C" w:rsidRDefault="00B2324E" w:rsidP="00B2324E">
      <w:pPr>
        <w:jc w:val="center"/>
        <w:rPr>
          <w:rFonts w:ascii="Gulim" w:eastAsia="Gulim" w:hAnsi="Gulim"/>
          <w:i/>
          <w:sz w:val="40"/>
          <w:szCs w:val="40"/>
        </w:rPr>
      </w:pPr>
      <w:r w:rsidRPr="006A794C">
        <w:rPr>
          <w:rFonts w:ascii="Gulim" w:eastAsia="Gulim" w:hAnsi="Gulim"/>
          <w:i/>
          <w:sz w:val="40"/>
          <w:szCs w:val="40"/>
        </w:rPr>
        <w:t>Who does this today?</w:t>
      </w:r>
    </w:p>
    <w:tbl>
      <w:tblPr>
        <w:tblStyle w:val="GridTable1Light-Accent1"/>
        <w:tblpPr w:leftFromText="180" w:rightFromText="180" w:vertAnchor="text" w:tblpXSpec="center" w:tblpY="91"/>
        <w:tblW w:w="0" w:type="auto"/>
        <w:tblLook w:val="04A0" w:firstRow="1" w:lastRow="0" w:firstColumn="1" w:lastColumn="0" w:noHBand="0" w:noVBand="1"/>
      </w:tblPr>
      <w:tblGrid>
        <w:gridCol w:w="6024"/>
        <w:gridCol w:w="1147"/>
        <w:gridCol w:w="1228"/>
        <w:gridCol w:w="1075"/>
      </w:tblGrid>
      <w:tr w:rsidR="006A794C" w14:paraId="1A76DFE0" w14:textId="77777777" w:rsidTr="006A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center"/>
          </w:tcPr>
          <w:p w14:paraId="76FB4E11" w14:textId="77777777" w:rsidR="006A794C" w:rsidRPr="006A794C" w:rsidRDefault="006A794C" w:rsidP="006A794C">
            <w:pPr>
              <w:jc w:val="center"/>
              <w:rPr>
                <w:rFonts w:ascii="Gulim" w:eastAsia="Gulim" w:hAnsi="Gulim"/>
                <w:b w:val="0"/>
                <w:sz w:val="22"/>
                <w:szCs w:val="22"/>
              </w:rPr>
            </w:pPr>
            <w:r w:rsidRPr="006A794C">
              <w:rPr>
                <w:rFonts w:ascii="Gulim" w:eastAsia="Gulim" w:hAnsi="Gulim"/>
                <w:b w:val="0"/>
                <w:sz w:val="22"/>
                <w:szCs w:val="22"/>
              </w:rPr>
              <w:t>Task</w:t>
            </w:r>
          </w:p>
        </w:tc>
        <w:tc>
          <w:tcPr>
            <w:tcW w:w="1147" w:type="dxa"/>
            <w:vAlign w:val="center"/>
          </w:tcPr>
          <w:p w14:paraId="21EEE4C7" w14:textId="77777777" w:rsidR="006A794C" w:rsidRPr="006A794C" w:rsidRDefault="006A794C" w:rsidP="006A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ulim" w:eastAsia="Gulim" w:hAnsi="Gulim"/>
                <w:b w:val="0"/>
                <w:sz w:val="22"/>
                <w:szCs w:val="22"/>
              </w:rPr>
            </w:pPr>
            <w:r w:rsidRPr="006A794C">
              <w:rPr>
                <w:rFonts w:ascii="Gulim" w:eastAsia="Gulim" w:hAnsi="Gulim"/>
                <w:b w:val="0"/>
                <w:sz w:val="22"/>
                <w:szCs w:val="22"/>
              </w:rPr>
              <w:t>CEO/ED</w:t>
            </w:r>
          </w:p>
        </w:tc>
        <w:tc>
          <w:tcPr>
            <w:tcW w:w="1228" w:type="dxa"/>
            <w:vAlign w:val="center"/>
          </w:tcPr>
          <w:p w14:paraId="64CB70D8" w14:textId="77777777" w:rsidR="006A794C" w:rsidRPr="006A794C" w:rsidRDefault="006A794C" w:rsidP="006A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ulim" w:eastAsia="Gulim" w:hAnsi="Gulim"/>
                <w:b w:val="0"/>
                <w:sz w:val="22"/>
                <w:szCs w:val="22"/>
              </w:rPr>
            </w:pPr>
            <w:r w:rsidRPr="006A794C">
              <w:rPr>
                <w:rFonts w:ascii="Gulim" w:eastAsia="Gulim" w:hAnsi="Gulim"/>
                <w:b w:val="0"/>
                <w:sz w:val="22"/>
                <w:szCs w:val="22"/>
              </w:rPr>
              <w:t>Board of Directors</w:t>
            </w:r>
          </w:p>
        </w:tc>
        <w:tc>
          <w:tcPr>
            <w:tcW w:w="1075" w:type="dxa"/>
            <w:vAlign w:val="center"/>
          </w:tcPr>
          <w:p w14:paraId="6BB50467" w14:textId="77777777" w:rsidR="006A794C" w:rsidRPr="006A794C" w:rsidRDefault="006A794C" w:rsidP="006A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ulim" w:eastAsia="Gulim" w:hAnsi="Gulim"/>
                <w:b w:val="0"/>
                <w:sz w:val="22"/>
                <w:szCs w:val="22"/>
              </w:rPr>
            </w:pPr>
            <w:r w:rsidRPr="006A794C">
              <w:rPr>
                <w:rFonts w:ascii="Gulim" w:eastAsia="Gulim" w:hAnsi="Gulim"/>
                <w:b w:val="0"/>
                <w:sz w:val="22"/>
                <w:szCs w:val="22"/>
              </w:rPr>
              <w:t>Staff</w:t>
            </w:r>
          </w:p>
        </w:tc>
      </w:tr>
      <w:tr w:rsidR="006A794C" w14:paraId="244F3941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5D7762F9" w14:textId="77777777" w:rsidR="006A794C" w:rsidRPr="00B2324E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B2324E">
              <w:rPr>
                <w:b w:val="0"/>
                <w:color w:val="2F5496" w:themeColor="accent1" w:themeShade="BF"/>
                <w:sz w:val="20"/>
                <w:szCs w:val="20"/>
              </w:rPr>
              <w:t>Setting goals and objectives for raising funds that support the organization’s vision, mission, and strategic plan</w:t>
            </w:r>
          </w:p>
        </w:tc>
        <w:tc>
          <w:tcPr>
            <w:tcW w:w="1147" w:type="dxa"/>
          </w:tcPr>
          <w:p w14:paraId="481CD90D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5BFA576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43B5C42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2235D062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0E542E09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Ensures the board’s legal responsibilities are met</w:t>
            </w:r>
          </w:p>
          <w:p w14:paraId="4E76C451" w14:textId="77777777" w:rsidR="006A794C" w:rsidRPr="00B2324E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D564858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222278B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353D596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27D2C54F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058800DE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Ensures the organization’s fiscal integrity and financial health</w:t>
            </w:r>
          </w:p>
          <w:p w14:paraId="4D960024" w14:textId="77777777" w:rsidR="006A794C" w:rsidRPr="00B2324E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E904776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012404D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73999EB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0D690D83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5BE8219E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Oversees and/or manages prospect and donor research</w:t>
            </w:r>
          </w:p>
          <w:p w14:paraId="735E93E5" w14:textId="77777777" w:rsidR="006A794C" w:rsidRPr="00B2324E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E5CAECE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4AADCFF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9ECD30A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2B4A921E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12381D34" w14:textId="77777777" w:rsidR="006A794C" w:rsidRPr="00B2324E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Prepares the overall development plan in concert with organizational plans</w:t>
            </w:r>
          </w:p>
        </w:tc>
        <w:tc>
          <w:tcPr>
            <w:tcW w:w="1147" w:type="dxa"/>
          </w:tcPr>
          <w:p w14:paraId="0DC519BA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D78B322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A7D12E3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1E655A40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66D441EB" w14:textId="77777777" w:rsidR="006A794C" w:rsidRPr="00B2324E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Primary external spokesperson for the organization, conveying its mission/vision enthusiastically and consistently</w:t>
            </w:r>
          </w:p>
        </w:tc>
        <w:tc>
          <w:tcPr>
            <w:tcW w:w="1147" w:type="dxa"/>
          </w:tcPr>
          <w:p w14:paraId="77F1B6F9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F057029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EAC988E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0056AAE4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31441AD9" w14:textId="77777777" w:rsidR="006A794C" w:rsidRPr="00B2324E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Monitors program activity to ensure progress is being made towards strategic plan goals, objectives and strategies/action plans</w:t>
            </w:r>
          </w:p>
        </w:tc>
        <w:tc>
          <w:tcPr>
            <w:tcW w:w="1147" w:type="dxa"/>
          </w:tcPr>
          <w:p w14:paraId="1CC6C941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12394F6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D166CBF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5442132A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17E69598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Manages preparation and submission of fundraising reports to the board and legal/regulatory entities</w:t>
            </w:r>
          </w:p>
        </w:tc>
        <w:tc>
          <w:tcPr>
            <w:tcW w:w="1147" w:type="dxa"/>
          </w:tcPr>
          <w:p w14:paraId="04059482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51EE81E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DBBAF54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4E2D3289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05E61099" w14:textId="695FEA20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Responsible for starting initi</w:t>
            </w:r>
            <w:r>
              <w:rPr>
                <w:b w:val="0"/>
                <w:color w:val="2F5496" w:themeColor="accent1" w:themeShade="BF"/>
                <w:sz w:val="20"/>
                <w:szCs w:val="20"/>
              </w:rPr>
              <w:t>al conversations with donors</w:t>
            </w:r>
          </w:p>
          <w:p w14:paraId="661764FE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A8A52F2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79CCC42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554B83F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709F6711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36F8901B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Establishes investment policies and guidelines: (how funds are invested/spent)</w:t>
            </w:r>
          </w:p>
        </w:tc>
        <w:tc>
          <w:tcPr>
            <w:tcW w:w="1147" w:type="dxa"/>
          </w:tcPr>
          <w:p w14:paraId="78BD2995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BF127CD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D90A1E3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6EF81CCD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2E41DCB4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Provides appropriate recognition to volunteers, and ensures others provide it</w:t>
            </w:r>
          </w:p>
        </w:tc>
        <w:tc>
          <w:tcPr>
            <w:tcW w:w="1147" w:type="dxa"/>
          </w:tcPr>
          <w:p w14:paraId="2FBCC407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7B903D3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FD4BA34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353B8680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3F75E25A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Provides operations oversight (use of legal counsel, use of consultants and outside experts)</w:t>
            </w:r>
          </w:p>
        </w:tc>
        <w:tc>
          <w:tcPr>
            <w:tcW w:w="1147" w:type="dxa"/>
          </w:tcPr>
          <w:p w14:paraId="28797688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6C4FF18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E7B24B1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2D06F26A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47A39B11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Establishes and maintains appropriate records as well as gift and reporting processes/procedures</w:t>
            </w:r>
          </w:p>
        </w:tc>
        <w:tc>
          <w:tcPr>
            <w:tcW w:w="1147" w:type="dxa"/>
          </w:tcPr>
          <w:p w14:paraId="6A80A85A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4C761FB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006B97E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5FCF6B7C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7E8E859A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Responsible for requesting gifts</w:t>
            </w:r>
          </w:p>
          <w:p w14:paraId="3CA84E85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FD91B9C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704FA99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50EB1FF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3E99F674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335B6ACF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Delineates gift acceptance policies: (types of giving instruments to be offered, who is authorized to negotiate for gifts, who ensures all tax authority requirements are met)</w:t>
            </w:r>
          </w:p>
        </w:tc>
        <w:tc>
          <w:tcPr>
            <w:tcW w:w="1147" w:type="dxa"/>
          </w:tcPr>
          <w:p w14:paraId="551D5D37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28DF4E6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AF9074C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5DFE4B64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3390A61E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Defines the roles of the board and of committees such as development, planned gifts, and investment</w:t>
            </w:r>
          </w:p>
        </w:tc>
        <w:tc>
          <w:tcPr>
            <w:tcW w:w="1147" w:type="dxa"/>
          </w:tcPr>
          <w:p w14:paraId="4F41AEE7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5DFC43D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478165B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538D5B24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7F9F2D37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Legally and morally accountable to stakeholders, including the public-at-large, for the actions of the organization</w:t>
            </w:r>
          </w:p>
        </w:tc>
        <w:tc>
          <w:tcPr>
            <w:tcW w:w="1147" w:type="dxa"/>
          </w:tcPr>
          <w:p w14:paraId="18969AC8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4BCB19D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5F6AE66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7F67C518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70EE56FB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Maintains awareness of potential conflicts of interest and ethically insures involving the organization’s activities</w:t>
            </w:r>
          </w:p>
        </w:tc>
        <w:tc>
          <w:tcPr>
            <w:tcW w:w="1147" w:type="dxa"/>
          </w:tcPr>
          <w:p w14:paraId="028BD266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913463B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37A219A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63076F7F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4B0113BE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Responsible for day to day operations of the organization</w:t>
            </w:r>
          </w:p>
          <w:p w14:paraId="035F3AC4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75E2367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1811B14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0F8C76E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5F9C5560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2F4D3F3E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Ensures appropriate and adequate safeguards are in place to maintain confidential information</w:t>
            </w:r>
          </w:p>
        </w:tc>
        <w:tc>
          <w:tcPr>
            <w:tcW w:w="1147" w:type="dxa"/>
          </w:tcPr>
          <w:p w14:paraId="4180063D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77C2E65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20CC989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0AA966F3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0B841E18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Ensures appropriate records management and reporting procedures are established and maintained</w:t>
            </w:r>
          </w:p>
        </w:tc>
        <w:tc>
          <w:tcPr>
            <w:tcW w:w="1147" w:type="dxa"/>
          </w:tcPr>
          <w:p w14:paraId="66832681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0690E03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94B5930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37B0ECED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1FDF29F5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Responsible for identifying prospects</w:t>
            </w:r>
          </w:p>
          <w:p w14:paraId="4F595FE3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2C07709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CA35981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1AD7D69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0A7C17DA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197E1A64" w14:textId="4C794E24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Develops, motivates, trains, and retains development</w:t>
            </w:r>
            <w:r w:rsidR="00BE53C5">
              <w:rPr>
                <w:b w:val="0"/>
                <w:color w:val="2F5496" w:themeColor="accent1" w:themeShade="BF"/>
                <w:sz w:val="20"/>
                <w:szCs w:val="20"/>
              </w:rPr>
              <w:t xml:space="preserve"> department staff (either hands-</w:t>
            </w:r>
            <w:r>
              <w:rPr>
                <w:b w:val="0"/>
                <w:color w:val="2F5496" w:themeColor="accent1" w:themeShade="BF"/>
                <w:sz w:val="20"/>
                <w:szCs w:val="20"/>
              </w:rPr>
              <w:t>on or by ensuring it happens)</w:t>
            </w:r>
          </w:p>
        </w:tc>
        <w:tc>
          <w:tcPr>
            <w:tcW w:w="1147" w:type="dxa"/>
          </w:tcPr>
          <w:p w14:paraId="15C71D16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2B395A9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E811E82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65AED450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55ABC9A1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Facilitates/mediates difficulties between volunteers and between staff</w:t>
            </w:r>
          </w:p>
          <w:p w14:paraId="3A63119C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5A76BA3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2D8F727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88E49B7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440C0AF9" w14:textId="77777777" w:rsidTr="006A7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7F13E1F1" w14:textId="77777777" w:rsidR="006A794C" w:rsidRDefault="006A794C" w:rsidP="006A794C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Creating operational systems for gift processing, tracking results, and forecasting fundraising</w:t>
            </w:r>
          </w:p>
        </w:tc>
        <w:tc>
          <w:tcPr>
            <w:tcW w:w="1147" w:type="dxa"/>
          </w:tcPr>
          <w:p w14:paraId="38CFD56F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83BD8F8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AFF6D2C" w14:textId="77777777" w:rsidR="006A794C" w:rsidRPr="00B2324E" w:rsidRDefault="006A794C" w:rsidP="006A7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1AFF95CD" w14:textId="5A228A53" w:rsidR="00B2324E" w:rsidRDefault="00B2324E">
      <w:pPr>
        <w:rPr>
          <w:i/>
        </w:rPr>
      </w:pPr>
    </w:p>
    <w:p w14:paraId="429544B4" w14:textId="062637DD" w:rsidR="00B2324E" w:rsidRDefault="00B2324E"/>
    <w:p w14:paraId="752D5B90" w14:textId="77777777" w:rsidR="00B2324E" w:rsidRDefault="00B2324E" w:rsidP="00B2324E">
      <w:pPr>
        <w:jc w:val="center"/>
        <w:rPr>
          <w:rFonts w:ascii="Gulim" w:eastAsia="Gulim" w:hAnsi="Gulim"/>
          <w:i/>
          <w:sz w:val="44"/>
          <w:szCs w:val="44"/>
        </w:rPr>
      </w:pPr>
    </w:p>
    <w:p w14:paraId="2DEFF5E4" w14:textId="3EE34974" w:rsidR="00B2324E" w:rsidRDefault="00B2324E" w:rsidP="00B2324E">
      <w:pPr>
        <w:jc w:val="center"/>
        <w:rPr>
          <w:rFonts w:ascii="Gulim" w:eastAsia="Gulim" w:hAnsi="Gulim"/>
          <w:i/>
          <w:sz w:val="44"/>
          <w:szCs w:val="44"/>
        </w:rPr>
      </w:pPr>
      <w:r>
        <w:rPr>
          <w:rFonts w:ascii="Gulim" w:eastAsia="Gulim" w:hAnsi="Gulim"/>
          <w:i/>
          <w:sz w:val="44"/>
          <w:szCs w:val="44"/>
        </w:rPr>
        <w:lastRenderedPageBreak/>
        <w:t>Who should do this</w:t>
      </w:r>
      <w:r w:rsidRPr="00B2324E">
        <w:rPr>
          <w:rFonts w:ascii="Gulim" w:eastAsia="Gulim" w:hAnsi="Gulim"/>
          <w:i/>
          <w:sz w:val="44"/>
          <w:szCs w:val="44"/>
        </w:rPr>
        <w:t>?</w:t>
      </w:r>
    </w:p>
    <w:tbl>
      <w:tblPr>
        <w:tblStyle w:val="GridTable1Light-Accent1"/>
        <w:tblpPr w:leftFromText="180" w:rightFromText="180" w:vertAnchor="text" w:tblpXSpec="center" w:tblpY="91"/>
        <w:tblW w:w="0" w:type="auto"/>
        <w:tblLook w:val="04A0" w:firstRow="1" w:lastRow="0" w:firstColumn="1" w:lastColumn="0" w:noHBand="0" w:noVBand="1"/>
      </w:tblPr>
      <w:tblGrid>
        <w:gridCol w:w="6024"/>
        <w:gridCol w:w="1147"/>
        <w:gridCol w:w="1228"/>
        <w:gridCol w:w="1075"/>
      </w:tblGrid>
      <w:tr w:rsidR="006A794C" w14:paraId="40F8D782" w14:textId="77777777" w:rsidTr="009B0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center"/>
          </w:tcPr>
          <w:p w14:paraId="14F31E40" w14:textId="77777777" w:rsidR="006A794C" w:rsidRPr="006A794C" w:rsidRDefault="006A794C" w:rsidP="009B0250">
            <w:pPr>
              <w:jc w:val="center"/>
              <w:rPr>
                <w:rFonts w:ascii="Gulim" w:eastAsia="Gulim" w:hAnsi="Gulim"/>
                <w:b w:val="0"/>
                <w:sz w:val="22"/>
                <w:szCs w:val="22"/>
              </w:rPr>
            </w:pPr>
            <w:r w:rsidRPr="006A794C">
              <w:rPr>
                <w:rFonts w:ascii="Gulim" w:eastAsia="Gulim" w:hAnsi="Gulim"/>
                <w:b w:val="0"/>
                <w:sz w:val="22"/>
                <w:szCs w:val="22"/>
              </w:rPr>
              <w:t>Task</w:t>
            </w:r>
          </w:p>
        </w:tc>
        <w:tc>
          <w:tcPr>
            <w:tcW w:w="1147" w:type="dxa"/>
            <w:vAlign w:val="center"/>
          </w:tcPr>
          <w:p w14:paraId="4DDC27F5" w14:textId="77777777" w:rsidR="006A794C" w:rsidRPr="006A794C" w:rsidRDefault="006A794C" w:rsidP="009B02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ulim" w:eastAsia="Gulim" w:hAnsi="Gulim"/>
                <w:b w:val="0"/>
                <w:sz w:val="22"/>
                <w:szCs w:val="22"/>
              </w:rPr>
            </w:pPr>
            <w:r w:rsidRPr="006A794C">
              <w:rPr>
                <w:rFonts w:ascii="Gulim" w:eastAsia="Gulim" w:hAnsi="Gulim"/>
                <w:b w:val="0"/>
                <w:sz w:val="22"/>
                <w:szCs w:val="22"/>
              </w:rPr>
              <w:t>CEO/ED</w:t>
            </w:r>
          </w:p>
        </w:tc>
        <w:tc>
          <w:tcPr>
            <w:tcW w:w="1228" w:type="dxa"/>
            <w:vAlign w:val="center"/>
          </w:tcPr>
          <w:p w14:paraId="11F5D060" w14:textId="77777777" w:rsidR="006A794C" w:rsidRPr="006A794C" w:rsidRDefault="006A794C" w:rsidP="009B02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ulim" w:eastAsia="Gulim" w:hAnsi="Gulim"/>
                <w:b w:val="0"/>
                <w:sz w:val="22"/>
                <w:szCs w:val="22"/>
              </w:rPr>
            </w:pPr>
            <w:r w:rsidRPr="006A794C">
              <w:rPr>
                <w:rFonts w:ascii="Gulim" w:eastAsia="Gulim" w:hAnsi="Gulim"/>
                <w:b w:val="0"/>
                <w:sz w:val="22"/>
                <w:szCs w:val="22"/>
              </w:rPr>
              <w:t>Board of Directors</w:t>
            </w:r>
          </w:p>
        </w:tc>
        <w:tc>
          <w:tcPr>
            <w:tcW w:w="1075" w:type="dxa"/>
            <w:vAlign w:val="center"/>
          </w:tcPr>
          <w:p w14:paraId="1E47BBB5" w14:textId="77777777" w:rsidR="006A794C" w:rsidRPr="006A794C" w:rsidRDefault="006A794C" w:rsidP="009B02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ulim" w:eastAsia="Gulim" w:hAnsi="Gulim"/>
                <w:b w:val="0"/>
                <w:sz w:val="22"/>
                <w:szCs w:val="22"/>
              </w:rPr>
            </w:pPr>
            <w:r w:rsidRPr="006A794C">
              <w:rPr>
                <w:rFonts w:ascii="Gulim" w:eastAsia="Gulim" w:hAnsi="Gulim"/>
                <w:b w:val="0"/>
                <w:sz w:val="22"/>
                <w:szCs w:val="22"/>
              </w:rPr>
              <w:t>Staff</w:t>
            </w:r>
          </w:p>
        </w:tc>
      </w:tr>
      <w:tr w:rsidR="006A794C" w14:paraId="02D75322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25707E61" w14:textId="77777777" w:rsidR="006A794C" w:rsidRPr="00B2324E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 w:rsidRPr="00B2324E">
              <w:rPr>
                <w:b w:val="0"/>
                <w:color w:val="2F5496" w:themeColor="accent1" w:themeShade="BF"/>
                <w:sz w:val="20"/>
                <w:szCs w:val="20"/>
              </w:rPr>
              <w:t>Setting goals and objectives for raising funds that support the organization’s vision, mission, and strategic plan</w:t>
            </w:r>
          </w:p>
        </w:tc>
        <w:tc>
          <w:tcPr>
            <w:tcW w:w="1147" w:type="dxa"/>
          </w:tcPr>
          <w:p w14:paraId="67AD1525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6111856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DF8AAA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5221BB63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199CFBBF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Ensures the board’s legal responsibilities are met</w:t>
            </w:r>
          </w:p>
          <w:p w14:paraId="3672914D" w14:textId="77777777" w:rsidR="006A794C" w:rsidRPr="00B2324E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43D0951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49B5A2B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6DEF31F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79E114DC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731E979C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Ensures the organization’s fiscal integrity and financial health</w:t>
            </w:r>
          </w:p>
          <w:p w14:paraId="77AB22EC" w14:textId="77777777" w:rsidR="006A794C" w:rsidRPr="00B2324E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B679D42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108F1F9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F37C72E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5CB19594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4AEA445E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Oversees and/or manages prospect and donor research</w:t>
            </w:r>
          </w:p>
          <w:p w14:paraId="184D9B26" w14:textId="77777777" w:rsidR="006A794C" w:rsidRPr="00B2324E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445C1D7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32A486C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8291FB0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050ACE02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23C4254F" w14:textId="77777777" w:rsidR="006A794C" w:rsidRPr="00B2324E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Prepares the overall development plan in concert with organizational plans</w:t>
            </w:r>
          </w:p>
        </w:tc>
        <w:tc>
          <w:tcPr>
            <w:tcW w:w="1147" w:type="dxa"/>
          </w:tcPr>
          <w:p w14:paraId="36D819AC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B5DAA63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35E55B4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2FC7C2C2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0A8DE0B2" w14:textId="77777777" w:rsidR="006A794C" w:rsidRPr="00B2324E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Primary external spokesperson for the organization, conveying its mission/vision enthusiastically and consistently</w:t>
            </w:r>
          </w:p>
        </w:tc>
        <w:tc>
          <w:tcPr>
            <w:tcW w:w="1147" w:type="dxa"/>
          </w:tcPr>
          <w:p w14:paraId="7FF1C874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9A40864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4E2E714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5B7F616D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1D8753D0" w14:textId="77777777" w:rsidR="006A794C" w:rsidRPr="00B2324E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Monitors program activity to ensure progress is being made towards strategic plan goals, objectives and strategies/action plans</w:t>
            </w:r>
          </w:p>
        </w:tc>
        <w:tc>
          <w:tcPr>
            <w:tcW w:w="1147" w:type="dxa"/>
          </w:tcPr>
          <w:p w14:paraId="6BA7030A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12C847B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3E32140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4164E480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40C97B63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Manages preparation and submission of fundraising reports to the board and legal/regulatory entities</w:t>
            </w:r>
          </w:p>
        </w:tc>
        <w:tc>
          <w:tcPr>
            <w:tcW w:w="1147" w:type="dxa"/>
          </w:tcPr>
          <w:p w14:paraId="0C8F4C9A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07A55EE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03F8F30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684D37EA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569EE7F4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Responsible for starting initial conversations with donors</w:t>
            </w:r>
          </w:p>
          <w:p w14:paraId="2935533C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DC6E53B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25510BA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46F98FF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6AC5E3A0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7566FE92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Establishes investment policies and guidelines: (how funds are invested/spent)</w:t>
            </w:r>
          </w:p>
        </w:tc>
        <w:tc>
          <w:tcPr>
            <w:tcW w:w="1147" w:type="dxa"/>
          </w:tcPr>
          <w:p w14:paraId="0B411CD4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BFBB92C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2FBA3C0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14:paraId="673DFC84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44BA5A06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Provides appropriate recognition to volunteers, and ensures others provide it</w:t>
            </w:r>
          </w:p>
        </w:tc>
        <w:tc>
          <w:tcPr>
            <w:tcW w:w="1147" w:type="dxa"/>
          </w:tcPr>
          <w:p w14:paraId="3C1C7D69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C03E7D5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CE1A32F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720822D6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500D47DE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Provides operations oversight (use of legal counsel, use of consultants and outside experts)</w:t>
            </w:r>
          </w:p>
        </w:tc>
        <w:tc>
          <w:tcPr>
            <w:tcW w:w="1147" w:type="dxa"/>
          </w:tcPr>
          <w:p w14:paraId="288AE96A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4295235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043BF20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636E55CF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3D2D6174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Establishes and maintains appropriate records as well as gift and reporting processes/procedures</w:t>
            </w:r>
          </w:p>
        </w:tc>
        <w:tc>
          <w:tcPr>
            <w:tcW w:w="1147" w:type="dxa"/>
          </w:tcPr>
          <w:p w14:paraId="110086C5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C3EEF0F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565F4D4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4978D09A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1ADEDC83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Responsible for requesting gifts</w:t>
            </w:r>
          </w:p>
          <w:p w14:paraId="72BE6028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C7BE52E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813D8ED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C75ACF3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00222F91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3AE77432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Delineates gift acceptance policies: (types of giving instruments to be offered, who is authorized to negotiate for gifts, who ensures all tax authority requirements are met)</w:t>
            </w:r>
          </w:p>
        </w:tc>
        <w:tc>
          <w:tcPr>
            <w:tcW w:w="1147" w:type="dxa"/>
          </w:tcPr>
          <w:p w14:paraId="5C616A3E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035C2B0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97A9E92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2A2245FA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3A879010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Defines the roles of the board and of committees such as development, planned gifts, and investment</w:t>
            </w:r>
          </w:p>
        </w:tc>
        <w:tc>
          <w:tcPr>
            <w:tcW w:w="1147" w:type="dxa"/>
          </w:tcPr>
          <w:p w14:paraId="7DAE8D1A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C681E20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15878E2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7B8230B5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7FE3536B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Legally and morally accountable to stakeholders, including the public-at-large, for the actions of the organization</w:t>
            </w:r>
          </w:p>
        </w:tc>
        <w:tc>
          <w:tcPr>
            <w:tcW w:w="1147" w:type="dxa"/>
          </w:tcPr>
          <w:p w14:paraId="4F043AA3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04A6856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191A55F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31BC4741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4C93920E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Maintains awareness of potential conflicts of interest and ethically insures involving the organization’s activities</w:t>
            </w:r>
          </w:p>
        </w:tc>
        <w:tc>
          <w:tcPr>
            <w:tcW w:w="1147" w:type="dxa"/>
          </w:tcPr>
          <w:p w14:paraId="5456F821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779EA0C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B14A2F5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60C06DF8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1F064F93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Responsible for day to day operations of the organization</w:t>
            </w:r>
          </w:p>
          <w:p w14:paraId="50276E67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3C34182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4B4D4C5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8535A69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700A2ADD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5147BEA6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Ensures appropriate and adequate safeguards are in place to maintain confidential information</w:t>
            </w:r>
          </w:p>
        </w:tc>
        <w:tc>
          <w:tcPr>
            <w:tcW w:w="1147" w:type="dxa"/>
          </w:tcPr>
          <w:p w14:paraId="4869D44D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F025A54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84FFF84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14264B50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511B5E2A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Ensures appropriate records management and reporting procedures are established and maintained</w:t>
            </w:r>
          </w:p>
        </w:tc>
        <w:tc>
          <w:tcPr>
            <w:tcW w:w="1147" w:type="dxa"/>
          </w:tcPr>
          <w:p w14:paraId="21F85118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E4BC568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BE10FC1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0374BDEB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1C23FAA1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Responsible for identifying prospects</w:t>
            </w:r>
          </w:p>
          <w:p w14:paraId="2B52BFAA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208FBA0C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4E1174E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A47E6FA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0D5FFD5A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30A6A395" w14:textId="4E85EDE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Develops, motivates, trains, and retains development</w:t>
            </w:r>
            <w:r w:rsidR="00BE53C5">
              <w:rPr>
                <w:b w:val="0"/>
                <w:color w:val="2F5496" w:themeColor="accent1" w:themeShade="BF"/>
                <w:sz w:val="20"/>
                <w:szCs w:val="20"/>
              </w:rPr>
              <w:t xml:space="preserve"> department staff (either hands-</w:t>
            </w:r>
            <w:bookmarkStart w:id="0" w:name="_GoBack"/>
            <w:bookmarkEnd w:id="0"/>
            <w:r>
              <w:rPr>
                <w:b w:val="0"/>
                <w:color w:val="2F5496" w:themeColor="accent1" w:themeShade="BF"/>
                <w:sz w:val="20"/>
                <w:szCs w:val="20"/>
              </w:rPr>
              <w:t>on or by ensuring it happens)</w:t>
            </w:r>
          </w:p>
        </w:tc>
        <w:tc>
          <w:tcPr>
            <w:tcW w:w="1147" w:type="dxa"/>
          </w:tcPr>
          <w:p w14:paraId="03DE6259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56FB44C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964716C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5BD3A0C8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36871341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Facilitates/mediates difficulties between volunteers and between staff</w:t>
            </w:r>
          </w:p>
          <w:p w14:paraId="76FA68DF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F961F0E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D325997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FA3D949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A794C" w:rsidRPr="00B2324E" w14:paraId="556D0466" w14:textId="77777777" w:rsidTr="009B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vAlign w:val="bottom"/>
          </w:tcPr>
          <w:p w14:paraId="60CBFBA3" w14:textId="77777777" w:rsidR="006A794C" w:rsidRDefault="006A794C" w:rsidP="009B0250">
            <w:pPr>
              <w:rPr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color w:val="2F5496" w:themeColor="accent1" w:themeShade="BF"/>
                <w:sz w:val="20"/>
                <w:szCs w:val="20"/>
              </w:rPr>
              <w:t>Creating operational systems for gift processing, tracking results, and forecasting fundraising</w:t>
            </w:r>
          </w:p>
        </w:tc>
        <w:tc>
          <w:tcPr>
            <w:tcW w:w="1147" w:type="dxa"/>
          </w:tcPr>
          <w:p w14:paraId="0C817409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D4D2C40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4A768D1" w14:textId="77777777" w:rsidR="006A794C" w:rsidRPr="00B2324E" w:rsidRDefault="006A794C" w:rsidP="009B0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3085B810" w14:textId="77777777" w:rsidR="006A794C" w:rsidRPr="006A794C" w:rsidRDefault="006A794C" w:rsidP="006A794C">
      <w:pPr>
        <w:rPr>
          <w:rFonts w:ascii="Gulim" w:eastAsia="Gulim" w:hAnsi="Gulim"/>
          <w:sz w:val="44"/>
          <w:szCs w:val="44"/>
        </w:rPr>
      </w:pPr>
    </w:p>
    <w:p w14:paraId="64261CED" w14:textId="77777777" w:rsidR="00B2324E" w:rsidRPr="00B2324E" w:rsidRDefault="00B2324E" w:rsidP="00B2324E">
      <w:pPr>
        <w:rPr>
          <w:rFonts w:ascii="Gulim" w:eastAsia="Gulim" w:hAnsi="Gulim"/>
          <w:i/>
          <w:sz w:val="44"/>
          <w:szCs w:val="44"/>
        </w:rPr>
      </w:pPr>
    </w:p>
    <w:p w14:paraId="125E9D4C" w14:textId="77777777" w:rsidR="00B2324E" w:rsidRDefault="00B2324E" w:rsidP="00B2324E">
      <w:pPr>
        <w:rPr>
          <w:i/>
        </w:rPr>
      </w:pPr>
    </w:p>
    <w:p w14:paraId="0E7A2C3D" w14:textId="77777777" w:rsidR="00B2324E" w:rsidRPr="00B2324E" w:rsidRDefault="00B2324E"/>
    <w:sectPr w:rsidR="00B2324E" w:rsidRPr="00B2324E" w:rsidSect="006A794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4E"/>
    <w:rsid w:val="006A794C"/>
    <w:rsid w:val="0089282C"/>
    <w:rsid w:val="009B7645"/>
    <w:rsid w:val="00B2324E"/>
    <w:rsid w:val="00B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33B5"/>
  <w15:chartTrackingRefBased/>
  <w15:docId w15:val="{155A1FE8-F05B-1447-9EB5-9DD6B27B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B2324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3">
    <w:name w:val="Grid Table 1 Light Accent 3"/>
    <w:basedOn w:val="TableNormal"/>
    <w:uiPriority w:val="46"/>
    <w:rsid w:val="00B232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324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Stephany</dc:creator>
  <cp:keywords/>
  <dc:description/>
  <cp:lastModifiedBy>Sarah Stephany</cp:lastModifiedBy>
  <cp:revision>4</cp:revision>
  <cp:lastPrinted>2018-10-08T15:14:00Z</cp:lastPrinted>
  <dcterms:created xsi:type="dcterms:W3CDTF">2018-10-08T14:43:00Z</dcterms:created>
  <dcterms:modified xsi:type="dcterms:W3CDTF">2018-10-08T15:28:00Z</dcterms:modified>
</cp:coreProperties>
</file>